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02">
      <w:pPr>
        <w:spacing w:line="276" w:lineRule="auto"/>
        <w:ind w:left="3600" w:firstLine="720"/>
        <w:rPr>
          <w:b w:val="1"/>
          <w:color w:val="000000"/>
        </w:rPr>
      </w:pPr>
      <w:r w:rsidDel="00000000" w:rsidR="00000000" w:rsidRPr="00000000">
        <w:rPr>
          <w:rFonts w:ascii="Arial" w:cs="Arial" w:eastAsia="Arial" w:hAnsi="Arial"/>
          <w:sz w:val="22"/>
          <w:szCs w:val="22"/>
        </w:rPr>
        <w:drawing>
          <wp:inline distB="114300" distT="114300" distL="114300" distR="114300">
            <wp:extent cx="1133475" cy="1047750"/>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33475" cy="10477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2009775" cy="352425"/>
                <wp:effectExtent b="0" l="0" r="0" t="0"/>
                <wp:wrapNone/>
                <wp:docPr id="11"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Garamond" w:cs="Garamond" w:eastAsia="Garamond" w:hAnsi="Garamond"/>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-63499</wp:posOffset>
                </wp:positionH>
                <wp:positionV relativeFrom="paragraph">
                  <wp:posOffset>38100</wp:posOffset>
                </wp:positionV>
                <wp:extent cx="2009775" cy="352425"/>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09775" cy="352425"/>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1"/>
        <w:tblW w:w="9747.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Job Title:</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highlight w:val="white"/>
              </w:rPr>
            </w:pPr>
            <w:r w:rsidDel="00000000" w:rsidR="00000000" w:rsidRPr="00000000">
              <w:rPr>
                <w:color w:val="000000"/>
                <w:highlight w:val="white"/>
                <w:rtl w:val="0"/>
              </w:rPr>
              <w:t xml:space="preserve">Nursery</w:t>
            </w:r>
            <w:r w:rsidDel="00000000" w:rsidR="00000000" w:rsidRPr="00000000">
              <w:rPr>
                <w:highlight w:val="white"/>
                <w:rtl w:val="0"/>
              </w:rPr>
              <w:t xml:space="preserve"> Practitioner</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Hours/Basis:</w:t>
            </w:r>
          </w:p>
        </w:tc>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Full time / Part time </w:t>
            </w: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Status: </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Permanent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rHeight w:val="368" w:hRule="atLeast"/>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Responsible to:</w:t>
            </w:r>
          </w:p>
        </w:tc>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highlight w:val="white"/>
              </w:rPr>
            </w:pPr>
            <w:r w:rsidDel="00000000" w:rsidR="00000000" w:rsidRPr="00000000">
              <w:rPr>
                <w:highlight w:val="white"/>
                <w:rtl w:val="0"/>
              </w:rPr>
              <w:t xml:space="preserve">Assistant Head Pre-Prep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b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2268"/>
        </w:tabs>
        <w:ind w:left="2268" w:hanging="2268"/>
        <w:rPr>
          <w:b w:val="1"/>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2268"/>
        </w:tabs>
        <w:rPr>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2268"/>
        </w:tabs>
        <w:ind w:left="2268" w:hanging="2268"/>
        <w:rPr>
          <w:b w:val="1"/>
          <w:color w:val="000000"/>
        </w:rPr>
      </w:pPr>
      <w:r w:rsidDel="00000000" w:rsidR="00000000" w:rsidRPr="00000000">
        <w:rPr>
          <w:b w:val="1"/>
          <w:color w:val="000000"/>
          <w:rtl w:val="0"/>
        </w:rPr>
        <w:t xml:space="preserve">Job Purpose</w:t>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2268"/>
        </w:tabs>
        <w:ind w:left="2268" w:hanging="2268"/>
        <w:rPr>
          <w:color w:val="000000"/>
        </w:rPr>
      </w:pPr>
      <w:r w:rsidDel="00000000" w:rsidR="00000000" w:rsidRPr="00000000">
        <w:rPr>
          <w:rtl w:val="0"/>
        </w:rPr>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help support the care and education of all the children in the Nursery </w:t>
      </w:r>
      <w:r w:rsidDel="00000000" w:rsidR="00000000" w:rsidRPr="00000000">
        <w:rPr>
          <w:rtl w:val="0"/>
        </w:rPr>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work in compliance with the EYFS, ISI, Ofsted, Safeguarding, and Health and Safety regulations in line with the Queens College and EYFS policies and procedure</w:t>
      </w:r>
      <w:r w:rsidDel="00000000" w:rsidR="00000000" w:rsidRPr="00000000">
        <w:rPr>
          <w:rtl w:val="0"/>
        </w:rPr>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be proactive in maintaining and providing appropriate and safe resources and equipment that will support the children’s welfare and development</w:t>
      </w: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Work in partnership with parents, carers, staff and a variety of internal and external </w:t>
      </w:r>
      <w:r w:rsidDel="00000000" w:rsidR="00000000" w:rsidRPr="00000000">
        <w:rPr>
          <w:rtl w:val="0"/>
        </w:rPr>
        <w:t xml:space="preserve">multi agency</w:t>
      </w:r>
      <w:r w:rsidDel="00000000" w:rsidR="00000000" w:rsidRPr="00000000">
        <w:rPr>
          <w:color w:val="000000"/>
          <w:rtl w:val="0"/>
        </w:rPr>
        <w:t xml:space="preserve"> services and professionals</w:t>
      </w: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Support the vision of the Queens College ethos </w:t>
      </w:r>
      <w:r w:rsidDel="00000000" w:rsidR="00000000" w:rsidRPr="00000000">
        <w:rPr>
          <w:rtl w:val="0"/>
        </w:rPr>
      </w:r>
    </w:p>
    <w:p w:rsidR="00000000" w:rsidDel="00000000" w:rsidP="00000000" w:rsidRDefault="00000000" w:rsidRPr="00000000" w14:paraId="0000001C">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help plan and implement appropriate programmes of activity and high quality care</w:t>
      </w: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Contribute to the collaborative working of the Queen’s </w:t>
      </w:r>
      <w:r w:rsidDel="00000000" w:rsidR="00000000" w:rsidRPr="00000000">
        <w:rPr>
          <w:rtl w:val="0"/>
        </w:rPr>
        <w:t xml:space="preserve">Minis</w:t>
      </w:r>
      <w:r w:rsidDel="00000000" w:rsidR="00000000" w:rsidRPr="00000000">
        <w:rPr>
          <w:color w:val="000000"/>
          <w:rtl w:val="0"/>
        </w:rPr>
        <w:t xml:space="preserve"> staff team</w:t>
      </w:r>
      <w:r w:rsidDel="00000000" w:rsidR="00000000" w:rsidRPr="00000000">
        <w:rPr>
          <w:rtl w:val="0"/>
        </w:rPr>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assist in the day to day operational and administration procedures of Queen’s </w:t>
      </w:r>
      <w:r w:rsidDel="00000000" w:rsidR="00000000" w:rsidRPr="00000000">
        <w:rPr>
          <w:rtl w:val="0"/>
        </w:rPr>
        <w:t xml:space="preserve">Minis.</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644" w:firstLine="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General Responsibilities</w:t>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276" w:lineRule="auto"/>
        <w:ind w:left="284" w:hanging="284"/>
        <w:jc w:val="both"/>
        <w:rPr>
          <w:rFonts w:ascii="Garamond" w:cs="Garamond" w:eastAsia="Garamond" w:hAnsi="Garamond"/>
          <w:color w:val="000000"/>
        </w:rPr>
      </w:pPr>
      <w:r w:rsidDel="00000000" w:rsidR="00000000" w:rsidRPr="00000000">
        <w:rPr>
          <w:color w:val="000000"/>
          <w:rtl w:val="0"/>
        </w:rPr>
        <w:t xml:space="preserve">To support the aims, Christian Values and ethos of Queen’s College </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line="276" w:lineRule="auto"/>
        <w:ind w:left="284" w:hanging="284"/>
        <w:jc w:val="both"/>
        <w:rPr>
          <w:rFonts w:ascii="Garamond" w:cs="Garamond" w:eastAsia="Garamond" w:hAnsi="Garamond"/>
          <w:b w:val="1"/>
          <w:color w:val="000000"/>
        </w:rPr>
      </w:pPr>
      <w:r w:rsidDel="00000000" w:rsidR="00000000" w:rsidRPr="00000000">
        <w:rPr>
          <w:color w:val="000000"/>
          <w:rtl w:val="0"/>
        </w:rPr>
        <w:t xml:space="preserve">To share and actively contribute to the well-being of all the Nursery-aged children </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undertake Nursery duties and be flexible in regard to working in different rooms as and when required </w:t>
      </w:r>
      <w:r w:rsidDel="00000000" w:rsidR="00000000" w:rsidRPr="00000000">
        <w:rPr>
          <w:rtl w:val="0"/>
        </w:rPr>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be proactive in delivering and maintaining a Nursery environment that is safe, secure and happy, ensuring adequate supervision at all times.</w:t>
      </w:r>
      <w:r w:rsidDel="00000000" w:rsidR="00000000" w:rsidRPr="00000000">
        <w:rPr>
          <w:rtl w:val="0"/>
        </w:rPr>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respect and maintain confidentiality </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tabs>
          <w:tab w:val="left" w:leader="none" w:pos="2268"/>
        </w:tabs>
        <w:spacing w:line="276" w:lineRule="auto"/>
        <w:ind w:left="284" w:hanging="284"/>
        <w:rPr>
          <w:rFonts w:ascii="Garamond" w:cs="Garamond" w:eastAsia="Garamond" w:hAnsi="Garamond"/>
          <w:b w:val="1"/>
          <w:color w:val="000000"/>
        </w:rPr>
      </w:pPr>
      <w:r w:rsidDel="00000000" w:rsidR="00000000" w:rsidRPr="00000000">
        <w:rPr>
          <w:color w:val="000000"/>
          <w:rtl w:val="0"/>
        </w:rPr>
        <w:t xml:space="preserve">To comply with the policies and procedures of Queen’s College, the requirements as set out by Ofsted, ISI and the EYFS, the Children’s Act, Safeguarding code of conduct, and all health and safety legislation</w: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Main Duties</w:t>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Adhere to the required standards, ratios and conditions of registration</w:t>
      </w:r>
      <w:r w:rsidDel="00000000" w:rsidR="00000000" w:rsidRPr="00000000">
        <w:rPr>
          <w:rtl w:val="0"/>
        </w:rPr>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be proactive in maintaining health and safety requirements and standards </w:t>
      </w:r>
      <w:r w:rsidDel="00000000" w:rsidR="00000000" w:rsidRPr="00000000">
        <w:rPr>
          <w:rtl w:val="0"/>
        </w:rPr>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Actively promote and support the safeguarding of children </w:t>
      </w:r>
      <w:r w:rsidDel="00000000" w:rsidR="00000000" w:rsidRPr="00000000">
        <w:rPr>
          <w:rtl w:val="0"/>
        </w:rPr>
        <w:t xml:space="preserve">across</w:t>
      </w:r>
      <w:r w:rsidDel="00000000" w:rsidR="00000000" w:rsidRPr="00000000">
        <w:rPr>
          <w:color w:val="000000"/>
          <w:rtl w:val="0"/>
        </w:rPr>
        <w:t xml:space="preserve"> the Queen’s Nursery pha</w:t>
      </w:r>
      <w:r w:rsidDel="00000000" w:rsidR="00000000" w:rsidRPr="00000000">
        <w:rPr>
          <w:rtl w:val="0"/>
        </w:rPr>
        <w:t xml:space="preserve">se</w:t>
      </w:r>
      <w:r w:rsidDel="00000000" w:rsidR="00000000" w:rsidRPr="00000000">
        <w:rPr>
          <w:rtl w:val="0"/>
        </w:rPr>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monitor and record accidents and incidents, reporting as appropriate</w:t>
      </w:r>
      <w:r w:rsidDel="00000000" w:rsidR="00000000" w:rsidRPr="00000000">
        <w:rPr>
          <w:rtl w:val="0"/>
        </w:rPr>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To be aware of the Nursery’s emergency and security procedures, ensuring that they are followed at all times. </w:t>
      </w:r>
      <w:r w:rsidDel="00000000" w:rsidR="00000000" w:rsidRPr="00000000">
        <w:rPr>
          <w:rtl w:val="0"/>
        </w:rPr>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pacing w:line="276" w:lineRule="auto"/>
        <w:ind w:left="317" w:hanging="317"/>
        <w:rPr>
          <w:rFonts w:ascii="Garamond" w:cs="Garamond" w:eastAsia="Garamond" w:hAnsi="Garamond"/>
          <w:color w:val="000000"/>
        </w:rPr>
      </w:pPr>
      <w:r w:rsidDel="00000000" w:rsidR="00000000" w:rsidRPr="00000000">
        <w:rPr>
          <w:color w:val="000000"/>
          <w:rtl w:val="0"/>
        </w:rPr>
        <w:t xml:space="preserve">Maintain a safe, clean, tidy, hygienic and organised room, ensuring </w:t>
      </w:r>
      <w:r w:rsidDel="00000000" w:rsidR="00000000" w:rsidRPr="00000000">
        <w:rPr>
          <w:rtl w:val="0"/>
        </w:rPr>
        <w:t xml:space="preserve">that the</w:t>
      </w:r>
      <w:r w:rsidDel="00000000" w:rsidR="00000000" w:rsidRPr="00000000">
        <w:rPr>
          <w:color w:val="000000"/>
          <w:rtl w:val="0"/>
        </w:rPr>
        <w:t xml:space="preserve"> environment has a welcoming and caring attitude. </w:t>
      </w:r>
      <w:r w:rsidDel="00000000" w:rsidR="00000000" w:rsidRPr="00000000">
        <w:rPr>
          <w:rtl w:val="0"/>
        </w:rPr>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Use systems (IT and paperwork based) to assess, monitor and develop the children’s individual progress </w:t>
      </w:r>
      <w:r w:rsidDel="00000000" w:rsidR="00000000" w:rsidRPr="00000000">
        <w:rPr>
          <w:rtl w:val="0"/>
        </w:rPr>
      </w:r>
    </w:p>
    <w:p w:rsidR="00000000" w:rsidDel="00000000" w:rsidP="00000000" w:rsidRDefault="00000000" w:rsidRPr="00000000" w14:paraId="00000033">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Make a positive contribution to the success of Queen’s </w:t>
      </w:r>
      <w:r w:rsidDel="00000000" w:rsidR="00000000" w:rsidRPr="00000000">
        <w:rPr>
          <w:rtl w:val="0"/>
        </w:rPr>
        <w:t xml:space="preserve">Nursery</w:t>
      </w:r>
      <w:r w:rsidDel="00000000" w:rsidR="00000000" w:rsidRPr="00000000">
        <w:rPr>
          <w:color w:val="000000"/>
          <w:rtl w:val="0"/>
        </w:rPr>
        <w:t xml:space="preserve"> by participating in mentoring systems and staff CPD</w:t>
      </w:r>
      <w:r w:rsidDel="00000000" w:rsidR="00000000" w:rsidRPr="00000000">
        <w:rPr>
          <w:rtl w:val="0"/>
        </w:rPr>
      </w:r>
    </w:p>
    <w:p w:rsidR="00000000" w:rsidDel="00000000" w:rsidP="00000000" w:rsidRDefault="00000000" w:rsidRPr="00000000" w14:paraId="00000034">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Support daily registration procedures for children within their designated rooms and ensure that handovers are effectively and sensitively handled</w:t>
      </w:r>
      <w:r w:rsidDel="00000000" w:rsidR="00000000" w:rsidRPr="00000000">
        <w:rPr>
          <w:rtl w:val="0"/>
        </w:rPr>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Support the nutritional needs of all the children attending the Nursery</w:t>
      </w:r>
      <w:r w:rsidDel="00000000" w:rsidR="00000000" w:rsidRPr="00000000">
        <w:rPr>
          <w:rtl w:val="0"/>
        </w:rPr>
      </w:r>
    </w:p>
    <w:p w:rsidR="00000000" w:rsidDel="00000000" w:rsidP="00000000" w:rsidRDefault="00000000" w:rsidRPr="00000000" w14:paraId="00000036">
      <w:pPr>
        <w:numPr>
          <w:ilvl w:val="0"/>
          <w:numId w:val="4"/>
        </w:numPr>
        <w:pBdr>
          <w:top w:space="0" w:sz="0" w:val="nil"/>
          <w:left w:space="0" w:sz="0" w:val="nil"/>
          <w:bottom w:space="0" w:sz="0" w:val="nil"/>
          <w:right w:space="0" w:sz="0" w:val="nil"/>
          <w:between w:space="0" w:sz="0" w:val="nil"/>
        </w:pBdr>
        <w:spacing w:line="276" w:lineRule="auto"/>
        <w:ind w:left="284" w:hanging="284"/>
        <w:rPr>
          <w:rFonts w:ascii="Garamond" w:cs="Garamond" w:eastAsia="Garamond" w:hAnsi="Garamond"/>
          <w:color w:val="000000"/>
        </w:rPr>
      </w:pPr>
      <w:r w:rsidDel="00000000" w:rsidR="00000000" w:rsidRPr="00000000">
        <w:rPr>
          <w:color w:val="000000"/>
          <w:rtl w:val="0"/>
        </w:rPr>
        <w:t xml:space="preserve">Participate in the supervision of children on visits, trips and offsite nursery activities.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Child Protection and Safeguarding</w:t>
      </w:r>
    </w:p>
    <w:p w:rsidR="00000000" w:rsidDel="00000000" w:rsidP="00000000" w:rsidRDefault="00000000" w:rsidRPr="00000000" w14:paraId="0000003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3B">
      <w:pPr>
        <w:rPr>
          <w:color w:val="000000"/>
        </w:rPr>
      </w:pPr>
      <w:r w:rsidDel="00000000" w:rsidR="00000000" w:rsidRPr="00000000">
        <w:rPr>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tl w:val="0"/>
        </w:rPr>
        <w:t xml:space="preserve">4</w:t>
      </w:r>
      <w:r w:rsidDel="00000000" w:rsidR="00000000" w:rsidRPr="00000000">
        <w:rPr>
          <w:color w:val="000000"/>
          <w:rtl w:val="0"/>
        </w:rPr>
        <w:t xml:space="preserve">).</w:t>
      </w:r>
    </w:p>
    <w:p w:rsidR="00000000" w:rsidDel="00000000" w:rsidP="00000000" w:rsidRDefault="00000000" w:rsidRPr="00000000" w14:paraId="0000003C">
      <w:pPr>
        <w:rPr>
          <w:color w:val="000000"/>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E">
      <w:pPr>
        <w:pBdr>
          <w:top w:space="0" w:sz="0" w:val="nil"/>
          <w:left w:space="0" w:sz="0" w:val="nil"/>
          <w:bottom w:space="0" w:sz="0" w:val="nil"/>
          <w:right w:space="0" w:sz="0" w:val="nil"/>
          <w:between w:space="0" w:sz="0" w:val="nil"/>
        </w:pBdr>
        <w:ind w:left="2160" w:hanging="2160"/>
        <w:rPr>
          <w:color w:val="000000"/>
        </w:rPr>
      </w:pPr>
      <w:r w:rsidDel="00000000" w:rsidR="00000000" w:rsidRPr="00000000">
        <w:rPr>
          <w:rtl w:val="0"/>
        </w:rPr>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Additional Duties: </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 undertake such additional duties as may be reasonably required commensurate with the level of responsibility within the College.</w:t>
      </w:r>
    </w:p>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b w:val="1"/>
          <w:color w:val="000000"/>
        </w:rPr>
      </w:pPr>
      <w:bookmarkStart w:colFirst="0" w:colLast="0" w:name="_heading=h.30j0zll" w:id="0"/>
      <w:bookmarkEnd w:id="0"/>
      <w:r w:rsidDel="00000000" w:rsidR="00000000" w:rsidRPr="00000000">
        <w:rPr>
          <w:b w:val="1"/>
          <w:color w:val="000000"/>
          <w:rtl w:val="0"/>
        </w:rPr>
        <w:t xml:space="preserve">Date: </w:t>
      </w:r>
      <w:r w:rsidDel="00000000" w:rsidR="00000000" w:rsidRPr="00000000">
        <w:rPr>
          <w:b w:val="1"/>
          <w:rtl w:val="0"/>
        </w:rPr>
        <w:t xml:space="preserve">July 2025</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job description is current at the above date.  In consultation with the post holder it is liable to variation by the College to reflect actual, contemplated or proposed changes in or to the job.</w:t>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color w:val="000000"/>
        </w:rPr>
      </w:pPr>
      <w:bookmarkStart w:colFirst="0" w:colLast="0" w:name="_heading=h.gjdgxs" w:id="1"/>
      <w:bookmarkEnd w:id="1"/>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b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124575" cy="342900"/>
                <wp:effectExtent b="0" l="0" r="0" t="0"/>
                <wp:wrapNone/>
                <wp:docPr id="10" name=""/>
                <a:graphic>
                  <a:graphicData uri="http://schemas.microsoft.com/office/word/2010/wordprocessingShape">
                    <wps:wsp>
                      <wps:cNvSpPr/>
                      <wps:cNvPr id="2" name="Shape 2"/>
                      <wps:spPr>
                        <a:xfrm>
                          <a:off x="2317050" y="3641888"/>
                          <a:ext cx="6057900" cy="276225"/>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aramond" w:cs="Garamond" w:eastAsia="Garamond" w:hAnsi="Garamond"/>
                                <w:b w:val="1"/>
                                <w:i w:val="0"/>
                                <w:smallCaps w:val="0"/>
                                <w:strike w:val="0"/>
                                <w:color w:val="ffffff"/>
                                <w:sz w:val="24"/>
                                <w:vertAlign w:val="baseline"/>
                              </w:rPr>
                              <w:t xml:space="preserve">PERSON SPECIFICATION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124575" cy="342900"/>
                <wp:effectExtent b="0" l="0" r="0" t="0"/>
                <wp:wrapNone/>
                <wp:docPr id="1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24575" cy="342900"/>
                        </a:xfrm>
                        <a:prstGeom prst="rect"/>
                        <a:ln/>
                      </pic:spPr>
                    </pic:pic>
                  </a:graphicData>
                </a:graphic>
              </wp:anchor>
            </w:drawing>
          </mc:Fallback>
        </mc:AlternateContent>
      </w:r>
    </w:p>
    <w:p w:rsidR="00000000" w:rsidDel="00000000" w:rsidP="00000000" w:rsidRDefault="00000000" w:rsidRPr="00000000" w14:paraId="0000005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Essential Qualifications/Experience/Skills</w:t>
      </w:r>
    </w:p>
    <w:p w:rsidR="00000000" w:rsidDel="00000000" w:rsidP="00000000" w:rsidRDefault="00000000" w:rsidRPr="00000000" w14:paraId="00000055">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Qualifications/Experience</w:t>
      </w:r>
    </w:p>
    <w:p w:rsidR="00000000" w:rsidDel="00000000" w:rsidP="00000000" w:rsidRDefault="00000000" w:rsidRPr="00000000" w14:paraId="00000057">
      <w:pPr>
        <w:pBdr>
          <w:top w:space="0" w:sz="0" w:val="nil"/>
          <w:left w:space="0" w:sz="0" w:val="nil"/>
          <w:bottom w:space="0" w:sz="0" w:val="nil"/>
          <w:right w:space="0" w:sz="0" w:val="nil"/>
          <w:between w:space="0" w:sz="0" w:val="nil"/>
        </w:pBdr>
        <w:rPr>
          <w:b w:val="1"/>
          <w:color w:val="000000"/>
          <w:u w:val="single"/>
        </w:rPr>
      </w:pPr>
      <w:r w:rsidDel="00000000" w:rsidR="00000000" w:rsidRPr="00000000">
        <w:rPr>
          <w:rtl w:val="0"/>
        </w:rPr>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rtl w:val="0"/>
        </w:rPr>
        <w:t xml:space="preserve">Level 3 Early Years qualification or similar</w:t>
      </w:r>
      <w:r w:rsidDel="00000000" w:rsidR="00000000" w:rsidRPr="00000000">
        <w:rPr>
          <w:rtl w:val="0"/>
        </w:rPr>
      </w:r>
    </w:p>
    <w:p w:rsidR="00000000" w:rsidDel="00000000" w:rsidP="00000000" w:rsidRDefault="00000000" w:rsidRPr="00000000" w14:paraId="00000059">
      <w:pPr>
        <w:numPr>
          <w:ilvl w:val="0"/>
          <w:numId w:val="7"/>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Experience of working with young children under </w:t>
      </w:r>
      <w:r w:rsidDel="00000000" w:rsidR="00000000" w:rsidRPr="00000000">
        <w:rPr>
          <w:rtl w:val="0"/>
        </w:rPr>
        <w:t xml:space="preserve">5</w:t>
      </w:r>
      <w:r w:rsidDel="00000000" w:rsidR="00000000" w:rsidRPr="00000000">
        <w:rPr>
          <w:color w:val="000000"/>
          <w:rtl w:val="0"/>
        </w:rPr>
        <w:t xml:space="preserve"> years. </w:t>
      </w:r>
      <w:r w:rsidDel="00000000" w:rsidR="00000000" w:rsidRPr="00000000">
        <w:rPr>
          <w:rtl w:val="0"/>
        </w:rPr>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Experience of working in partnership with parents, carers and as part of a team of staff.</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Skills/Abilities</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3"/>
        </w:numPr>
        <w:pBdr>
          <w:top w:space="0" w:sz="0" w:val="nil"/>
          <w:left w:space="0" w:sz="0" w:val="nil"/>
          <w:bottom w:space="0" w:sz="0" w:val="nil"/>
          <w:right w:space="0" w:sz="0" w:val="nil"/>
          <w:between w:space="0" w:sz="0" w:val="nil"/>
        </w:pBdr>
        <w:spacing w:line="360" w:lineRule="auto"/>
        <w:ind w:left="720" w:hanging="360"/>
        <w:rPr>
          <w:rFonts w:ascii="Garamond" w:cs="Garamond" w:eastAsia="Garamond" w:hAnsi="Garamond"/>
          <w:color w:val="000000"/>
        </w:rPr>
      </w:pPr>
      <w:r w:rsidDel="00000000" w:rsidR="00000000" w:rsidRPr="00000000">
        <w:rPr>
          <w:color w:val="000000"/>
          <w:rtl w:val="0"/>
        </w:rPr>
        <w:t xml:space="preserve">An understanding of play and child development and the ability to meet the needs of individual children. </w:t>
      </w: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line="360" w:lineRule="auto"/>
        <w:ind w:left="720" w:hanging="360"/>
        <w:rPr>
          <w:rFonts w:ascii="Garamond" w:cs="Garamond" w:eastAsia="Garamond" w:hAnsi="Garamond"/>
          <w:color w:val="000000"/>
        </w:rPr>
      </w:pPr>
      <w:r w:rsidDel="00000000" w:rsidR="00000000" w:rsidRPr="00000000">
        <w:rPr>
          <w:color w:val="000000"/>
          <w:rtl w:val="0"/>
        </w:rPr>
        <w:t xml:space="preserve">Ability to communicate effectively and sensitively with parents and young children.</w:t>
      </w:r>
      <w:r w:rsidDel="00000000" w:rsidR="00000000" w:rsidRPr="00000000">
        <w:rPr>
          <w:rtl w:val="0"/>
        </w:rPr>
      </w:r>
    </w:p>
    <w:p w:rsidR="00000000" w:rsidDel="00000000" w:rsidP="00000000" w:rsidRDefault="00000000" w:rsidRPr="00000000" w14:paraId="00000060">
      <w:pPr>
        <w:numPr>
          <w:ilvl w:val="0"/>
          <w:numId w:val="3"/>
        </w:numPr>
        <w:pBdr>
          <w:top w:space="0" w:sz="0" w:val="nil"/>
          <w:left w:space="0" w:sz="0" w:val="nil"/>
          <w:bottom w:space="0" w:sz="0" w:val="nil"/>
          <w:right w:space="0" w:sz="0" w:val="nil"/>
          <w:between w:space="0" w:sz="0" w:val="nil"/>
        </w:pBdr>
        <w:spacing w:line="360" w:lineRule="auto"/>
        <w:ind w:left="720" w:hanging="360"/>
        <w:rPr>
          <w:rFonts w:ascii="Garamond" w:cs="Garamond" w:eastAsia="Garamond" w:hAnsi="Garamond"/>
          <w:color w:val="000000"/>
        </w:rPr>
      </w:pPr>
      <w:r w:rsidDel="00000000" w:rsidR="00000000" w:rsidRPr="00000000">
        <w:rPr>
          <w:color w:val="000000"/>
          <w:rtl w:val="0"/>
        </w:rPr>
        <w:t xml:space="preserve">Aware of the importance of communicating effectively and sensitively with parents and young children.</w:t>
      </w: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spacing w:line="360" w:lineRule="auto"/>
        <w:ind w:left="720" w:hanging="360"/>
        <w:rPr>
          <w:rFonts w:ascii="Garamond" w:cs="Garamond" w:eastAsia="Garamond" w:hAnsi="Garamond"/>
          <w:color w:val="000000"/>
        </w:rPr>
      </w:pPr>
      <w:r w:rsidDel="00000000" w:rsidR="00000000" w:rsidRPr="00000000">
        <w:rPr>
          <w:color w:val="000000"/>
          <w:rtl w:val="0"/>
        </w:rPr>
        <w:t xml:space="preserve">Ability to take instruction from a senior or more experienced member of staff</w:t>
      </w:r>
      <w:r w:rsidDel="00000000" w:rsidR="00000000" w:rsidRPr="00000000">
        <w:rPr>
          <w:rtl w:val="0"/>
        </w:rPr>
      </w:r>
    </w:p>
    <w:p w:rsidR="00000000" w:rsidDel="00000000" w:rsidP="00000000" w:rsidRDefault="00000000" w:rsidRPr="00000000" w14:paraId="00000062">
      <w:pPr>
        <w:numPr>
          <w:ilvl w:val="0"/>
          <w:numId w:val="3"/>
        </w:numPr>
        <w:pBdr>
          <w:top w:space="0" w:sz="0" w:val="nil"/>
          <w:left w:space="0" w:sz="0" w:val="nil"/>
          <w:bottom w:space="0" w:sz="0" w:val="nil"/>
          <w:right w:space="0" w:sz="0" w:val="nil"/>
          <w:between w:space="0" w:sz="0" w:val="nil"/>
        </w:pBdr>
        <w:spacing w:line="360" w:lineRule="auto"/>
        <w:ind w:left="720" w:hanging="360"/>
        <w:rPr>
          <w:rFonts w:ascii="Garamond" w:cs="Garamond" w:eastAsia="Garamond" w:hAnsi="Garamond"/>
          <w:color w:val="000000"/>
        </w:rPr>
      </w:pPr>
      <w:r w:rsidDel="00000000" w:rsidR="00000000" w:rsidRPr="00000000">
        <w:rPr>
          <w:color w:val="000000"/>
          <w:rtl w:val="0"/>
        </w:rPr>
        <w:t xml:space="preserve">Possess a good level of oral and written English language</w:t>
      </w:r>
      <w:r w:rsidDel="00000000" w:rsidR="00000000" w:rsidRPr="00000000">
        <w:rPr>
          <w:rtl w:val="0"/>
        </w:rPr>
      </w:r>
    </w:p>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Personal/professional qualities</w:t>
      </w:r>
    </w:p>
    <w:p w:rsidR="00000000" w:rsidDel="00000000" w:rsidP="00000000" w:rsidRDefault="00000000" w:rsidRPr="00000000" w14:paraId="00000065">
      <w:pPr>
        <w:ind w:left="34" w:firstLine="0"/>
        <w:rPr/>
      </w:pPr>
      <w:r w:rsidDel="00000000" w:rsidR="00000000" w:rsidRPr="00000000">
        <w:rPr>
          <w:rtl w:val="0"/>
        </w:rPr>
      </w:r>
    </w:p>
    <w:p w:rsidR="00000000" w:rsidDel="00000000" w:rsidP="00000000" w:rsidRDefault="00000000" w:rsidRPr="00000000" w14:paraId="00000066">
      <w:pPr>
        <w:numPr>
          <w:ilvl w:val="0"/>
          <w:numId w:val="5"/>
        </w:numPr>
        <w:pBdr>
          <w:top w:space="0" w:sz="0" w:val="nil"/>
          <w:left w:space="0" w:sz="0" w:val="nil"/>
          <w:bottom w:space="0" w:sz="0" w:val="nil"/>
          <w:right w:space="0" w:sz="0" w:val="nil"/>
          <w:between w:space="0" w:sz="0" w:val="nil"/>
        </w:pBdr>
        <w:ind w:left="754" w:hanging="360"/>
        <w:rPr>
          <w:rFonts w:ascii="Garamond" w:cs="Garamond" w:eastAsia="Garamond" w:hAnsi="Garamond"/>
          <w:b w:val="1"/>
          <w:color w:val="000000"/>
          <w:sz w:val="24"/>
          <w:szCs w:val="24"/>
        </w:rPr>
      </w:pPr>
      <w:r w:rsidDel="00000000" w:rsidR="00000000" w:rsidRPr="00000000">
        <w:rPr>
          <w:color w:val="000000"/>
          <w:rtl w:val="0"/>
        </w:rPr>
        <w:t xml:space="preserve">Approachable, cheerful and helpful disposition</w:t>
      </w:r>
      <w:r w:rsidDel="00000000" w:rsidR="00000000" w:rsidRPr="00000000">
        <w:rPr>
          <w:rtl w:val="0"/>
        </w:rPr>
      </w:r>
    </w:p>
    <w:p w:rsidR="00000000" w:rsidDel="00000000" w:rsidP="00000000" w:rsidRDefault="00000000" w:rsidRPr="00000000" w14:paraId="00000067">
      <w:pPr>
        <w:numPr>
          <w:ilvl w:val="0"/>
          <w:numId w:val="5"/>
        </w:numPr>
        <w:pBdr>
          <w:top w:space="0" w:sz="0" w:val="nil"/>
          <w:left w:space="0" w:sz="0" w:val="nil"/>
          <w:bottom w:space="0" w:sz="0" w:val="nil"/>
          <w:right w:space="0" w:sz="0" w:val="nil"/>
          <w:between w:space="0" w:sz="0" w:val="nil"/>
        </w:pBdr>
        <w:spacing w:after="120" w:before="120" w:lineRule="auto"/>
        <w:ind w:left="754" w:hanging="360"/>
        <w:rPr>
          <w:rFonts w:ascii="Garamond" w:cs="Garamond" w:eastAsia="Garamond" w:hAnsi="Garamond"/>
          <w:color w:val="000000"/>
          <w:sz w:val="24"/>
          <w:szCs w:val="24"/>
        </w:rPr>
      </w:pPr>
      <w:r w:rsidDel="00000000" w:rsidR="00000000" w:rsidRPr="00000000">
        <w:rPr>
          <w:color w:val="000000"/>
          <w:rtl w:val="0"/>
        </w:rPr>
        <w:t xml:space="preserve">Enthusiastic and energetic </w:t>
      </w:r>
      <w:r w:rsidDel="00000000" w:rsidR="00000000" w:rsidRPr="00000000">
        <w:rPr>
          <w:rtl w:val="0"/>
        </w:rPr>
      </w:r>
    </w:p>
    <w:p w:rsidR="00000000" w:rsidDel="00000000" w:rsidP="00000000" w:rsidRDefault="00000000" w:rsidRPr="00000000" w14:paraId="00000068">
      <w:pPr>
        <w:numPr>
          <w:ilvl w:val="0"/>
          <w:numId w:val="5"/>
        </w:numPr>
        <w:pBdr>
          <w:top w:space="0" w:sz="0" w:val="nil"/>
          <w:left w:space="0" w:sz="0" w:val="nil"/>
          <w:bottom w:space="0" w:sz="0" w:val="nil"/>
          <w:right w:space="0" w:sz="0" w:val="nil"/>
          <w:between w:space="0" w:sz="0" w:val="nil"/>
        </w:pBdr>
        <w:spacing w:after="120" w:before="120" w:lineRule="auto"/>
        <w:ind w:left="754" w:hanging="360"/>
        <w:rPr>
          <w:rFonts w:ascii="Garamond" w:cs="Garamond" w:eastAsia="Garamond" w:hAnsi="Garamond"/>
          <w:color w:val="000000"/>
          <w:sz w:val="24"/>
          <w:szCs w:val="24"/>
        </w:rPr>
      </w:pPr>
      <w:r w:rsidDel="00000000" w:rsidR="00000000" w:rsidRPr="00000000">
        <w:rPr>
          <w:color w:val="000000"/>
          <w:rtl w:val="0"/>
        </w:rPr>
        <w:t xml:space="preserve">Sense of Humour</w:t>
      </w:r>
      <w:r w:rsidDel="00000000" w:rsidR="00000000" w:rsidRPr="00000000">
        <w:rPr>
          <w:rtl w:val="0"/>
        </w:rPr>
      </w:r>
    </w:p>
    <w:p w:rsidR="00000000" w:rsidDel="00000000" w:rsidP="00000000" w:rsidRDefault="00000000" w:rsidRPr="00000000" w14:paraId="00000069">
      <w:pPr>
        <w:numPr>
          <w:ilvl w:val="0"/>
          <w:numId w:val="5"/>
        </w:numPr>
        <w:pBdr>
          <w:top w:space="0" w:sz="0" w:val="nil"/>
          <w:left w:space="0" w:sz="0" w:val="nil"/>
          <w:bottom w:space="0" w:sz="0" w:val="nil"/>
          <w:right w:space="0" w:sz="0" w:val="nil"/>
          <w:between w:space="0" w:sz="0" w:val="nil"/>
        </w:pBdr>
        <w:spacing w:after="120" w:before="120" w:lineRule="auto"/>
        <w:ind w:left="754" w:hanging="360"/>
        <w:rPr>
          <w:rFonts w:ascii="Garamond" w:cs="Garamond" w:eastAsia="Garamond" w:hAnsi="Garamond"/>
          <w:color w:val="000000"/>
          <w:sz w:val="24"/>
          <w:szCs w:val="24"/>
        </w:rPr>
      </w:pPr>
      <w:r w:rsidDel="00000000" w:rsidR="00000000" w:rsidRPr="00000000">
        <w:rPr>
          <w:color w:val="000000"/>
          <w:rtl w:val="0"/>
        </w:rPr>
        <w:t xml:space="preserve">Patient and reliable</w:t>
      </w: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spacing w:after="120" w:before="120" w:lineRule="auto"/>
        <w:ind w:left="754" w:hanging="360"/>
        <w:rPr>
          <w:rFonts w:ascii="Garamond" w:cs="Garamond" w:eastAsia="Garamond" w:hAnsi="Garamond"/>
          <w:color w:val="000000"/>
          <w:sz w:val="24"/>
          <w:szCs w:val="24"/>
        </w:rPr>
      </w:pPr>
      <w:r w:rsidDel="00000000" w:rsidR="00000000" w:rsidRPr="00000000">
        <w:rPr>
          <w:color w:val="000000"/>
          <w:rtl w:val="0"/>
        </w:rPr>
        <w:t xml:space="preserve">Professional and presentable for role.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Rule="auto"/>
        <w:ind w:left="754" w:firstLine="0"/>
        <w:rPr>
          <w:color w:val="000000"/>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b w:val="1"/>
          <w:color w:val="000000"/>
          <w:u w:val="single"/>
        </w:rPr>
      </w:pPr>
      <w:r w:rsidDel="00000000" w:rsidR="00000000" w:rsidRPr="00000000">
        <w:rPr>
          <w:b w:val="1"/>
          <w:color w:val="000000"/>
          <w:u w:val="single"/>
          <w:rtl w:val="0"/>
        </w:rPr>
        <w:t xml:space="preserve">Desirable Qualifications/Experience/Skills</w:t>
      </w:r>
    </w:p>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rPr>
          <w:b w:val="1"/>
          <w:color w:val="000000"/>
        </w:rPr>
      </w:pPr>
      <w:r w:rsidDel="00000000" w:rsidR="00000000" w:rsidRPr="00000000">
        <w:rPr>
          <w:b w:val="1"/>
          <w:color w:val="000000"/>
          <w:rtl w:val="0"/>
        </w:rPr>
        <w:t xml:space="preserve">Qualifications/Experience</w:t>
      </w:r>
    </w:p>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70">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Current Paediatric First Aid  Training</w:t>
      </w: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Current Food hygiene Qualification</w:t>
      </w:r>
      <w:r w:rsidDel="00000000" w:rsidR="00000000" w:rsidRPr="00000000">
        <w:rPr>
          <w:rtl w:val="0"/>
        </w:rPr>
      </w:r>
    </w:p>
    <w:p w:rsidR="00000000" w:rsidDel="00000000" w:rsidP="00000000" w:rsidRDefault="00000000" w:rsidRPr="00000000" w14:paraId="00000072">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Current Introduction to Child Protection training. </w:t>
      </w: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Experience of working in an Early Years setting with children under 3 years.</w:t>
      </w: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b w:val="1"/>
          <w:color w:val="000000"/>
          <w:rtl w:val="0"/>
        </w:rPr>
        <w:t xml:space="preserve">Skills/Abilities</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rPr>
          <w:b w:val="1"/>
          <w:color w:val="000000"/>
        </w:rPr>
      </w:pP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Ability to use initiative within the requirements of the role</w:t>
      </w: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Computer literate</w:t>
      </w:r>
      <w:r w:rsidDel="00000000" w:rsidR="00000000" w:rsidRPr="00000000">
        <w:rPr>
          <w:rtl w:val="0"/>
        </w:rPr>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spacing w:line="360" w:lineRule="auto"/>
        <w:ind w:left="754" w:hanging="360"/>
        <w:rPr>
          <w:rFonts w:ascii="Garamond" w:cs="Garamond" w:eastAsia="Garamond" w:hAnsi="Garamond"/>
          <w:color w:val="000000"/>
          <w:sz w:val="24"/>
          <w:szCs w:val="24"/>
        </w:rPr>
      </w:pPr>
      <w:r w:rsidDel="00000000" w:rsidR="00000000" w:rsidRPr="00000000">
        <w:rPr>
          <w:color w:val="000000"/>
          <w:rtl w:val="0"/>
        </w:rPr>
        <w:t xml:space="preserve">Good organisational skills</w:t>
      </w:r>
      <w:r w:rsidDel="00000000" w:rsidR="00000000" w:rsidRPr="00000000">
        <w:rPr>
          <w:rtl w:val="0"/>
        </w:rPr>
      </w:r>
    </w:p>
    <w:sectPr>
      <w:headerReference r:id="rId9" w:type="default"/>
      <w:footerReference r:id="rId10"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8.9999999999999"/>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54" w:hanging="358.9999999999999"/>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8.9999999999999"/>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54" w:hanging="358.9999999999999"/>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004" w:hanging="360"/>
      </w:pPr>
      <w:rPr>
        <w:rFonts w:ascii="Noto Sans Symbols" w:cs="Noto Sans Symbols" w:eastAsia="Noto Sans Symbols" w:hAnsi="Noto Sans Symbols"/>
        <w:sz w:val="24"/>
        <w:szCs w:val="24"/>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7">
    <w:lvl w:ilvl="0">
      <w:start w:val="1"/>
      <w:numFmt w:val="bullet"/>
      <w:lvlText w:val="●"/>
      <w:lvlJc w:val="left"/>
      <w:pPr>
        <w:ind w:left="754" w:hanging="358.9999999999999"/>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ind w:left="754" w:hanging="358.9999999999999"/>
    </w:pPr>
    <w:rPr>
      <w:rFonts w:ascii="Arial" w:cs="Arial" w:eastAsia="Arial" w:hAnsi="Arial"/>
      <w:b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i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BMQ0mht4rIA98rxe8Tr3Uc1L/g==">CgMxLjAyCWguMzBqMHpsbDIIaC5namRneHM4AHIhMWFlUU1raDlwa3E1Zml5N1BRRHJJTmxCdnMtVGl1d1V3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